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97" w:rsidRPr="00022297" w:rsidRDefault="00022297" w:rsidP="00022297">
      <w:pPr>
        <w:shd w:val="clear" w:color="auto" w:fill="F1F1F1"/>
        <w:spacing w:after="0" w:line="240" w:lineRule="auto"/>
        <w:jc w:val="both"/>
        <w:textAlignment w:val="baseline"/>
        <w:outlineLvl w:val="0"/>
        <w:rPr>
          <w:rFonts w:ascii="Arial" w:eastAsia="Times New Roman" w:hAnsi="Arial" w:cs="Arial"/>
          <w:b/>
          <w:bCs/>
          <w:color w:val="666666"/>
          <w:kern w:val="36"/>
          <w:sz w:val="30"/>
          <w:szCs w:val="30"/>
        </w:rPr>
      </w:pPr>
      <w:r w:rsidRPr="00022297">
        <w:rPr>
          <w:rFonts w:ascii="Arial" w:eastAsia="Times New Roman" w:hAnsi="Arial" w:cs="Arial"/>
          <w:b/>
          <w:bCs/>
          <w:color w:val="666666"/>
          <w:kern w:val="36"/>
          <w:sz w:val="30"/>
          <w:szCs w:val="30"/>
        </w:rPr>
        <w:t>Dự thảo Nghị quyết sửa đổi, bổ sung một số điều của Hiến pháp nước Cộng hòa xã hội chủ nghĩa Việt Nam năm 2013</w:t>
      </w:r>
    </w:p>
    <w:p w:rsidR="00022297" w:rsidRPr="00022297" w:rsidRDefault="00022297" w:rsidP="00022297">
      <w:pPr>
        <w:shd w:val="clear" w:color="auto" w:fill="F1F1F1"/>
        <w:spacing w:after="0" w:line="240" w:lineRule="auto"/>
        <w:textAlignment w:val="baseline"/>
        <w:rPr>
          <w:rFonts w:ascii="Arial" w:eastAsia="Times New Roman" w:hAnsi="Arial" w:cs="Arial"/>
          <w:color w:val="888888"/>
          <w:sz w:val="20"/>
          <w:szCs w:val="20"/>
        </w:rPr>
      </w:pPr>
      <w:r w:rsidRPr="00022297">
        <w:rPr>
          <w:rFonts w:ascii="Arial" w:eastAsia="Times New Roman" w:hAnsi="Arial" w:cs="Arial"/>
          <w:color w:val="888888"/>
          <w:sz w:val="22"/>
          <w:bdr w:val="none" w:sz="0" w:space="0" w:color="auto" w:frame="1"/>
        </w:rPr>
        <w:t>06/05/2025</w:t>
      </w:r>
    </w:p>
    <w:p w:rsidR="00022297" w:rsidRPr="00022297" w:rsidRDefault="00022297" w:rsidP="00022297">
      <w:pPr>
        <w:shd w:val="clear" w:color="auto" w:fill="F1F1F1"/>
        <w:spacing w:after="0" w:line="240" w:lineRule="auto"/>
        <w:jc w:val="both"/>
        <w:textAlignment w:val="baseline"/>
        <w:rPr>
          <w:rFonts w:ascii="Arial" w:eastAsia="Times New Roman" w:hAnsi="Arial" w:cs="Arial"/>
          <w:b/>
          <w:bCs/>
          <w:color w:val="666666"/>
          <w:sz w:val="22"/>
        </w:rPr>
      </w:pPr>
      <w:r w:rsidRPr="00022297">
        <w:rPr>
          <w:rFonts w:ascii="Arial" w:eastAsia="Times New Roman" w:hAnsi="Arial" w:cs="Arial"/>
          <w:b/>
          <w:bCs/>
          <w:color w:val="666666"/>
          <w:sz w:val="22"/>
        </w:rPr>
        <w:t>Cổng Thông tin điện tử Quốc hội trân trọng giới thiệu Toàn văn Dự thảo Nghị quyết sửa đổi, bổ sung một số điều của Hiến pháp nước Cộng hòa xã hội chủ nghĩa Việt Nam năm 2013:</w:t>
      </w:r>
    </w:p>
    <w:tbl>
      <w:tblPr>
        <w:tblW w:w="10500" w:type="dxa"/>
        <w:tblCellMar>
          <w:left w:w="0" w:type="dxa"/>
          <w:right w:w="0" w:type="dxa"/>
        </w:tblCellMar>
        <w:tblLook w:val="04A0" w:firstRow="1" w:lastRow="0" w:firstColumn="1" w:lastColumn="0" w:noHBand="0" w:noVBand="1"/>
      </w:tblPr>
      <w:tblGrid>
        <w:gridCol w:w="10500"/>
      </w:tblGrid>
      <w:tr w:rsidR="00022297" w:rsidRPr="00022297" w:rsidTr="00022297">
        <w:tc>
          <w:tcPr>
            <w:tcW w:w="9735" w:type="dxa"/>
            <w:vAlign w:val="center"/>
            <w:hideMark/>
          </w:tcPr>
          <w:tbl>
            <w:tblPr>
              <w:tblW w:w="10500" w:type="dxa"/>
              <w:tblCellMar>
                <w:left w:w="0" w:type="dxa"/>
                <w:right w:w="0" w:type="dxa"/>
              </w:tblCellMar>
              <w:tblLook w:val="04A0" w:firstRow="1" w:lastRow="0" w:firstColumn="1" w:lastColumn="0" w:noHBand="0" w:noVBand="1"/>
            </w:tblPr>
            <w:tblGrid>
              <w:gridCol w:w="3990"/>
              <w:gridCol w:w="6510"/>
            </w:tblGrid>
            <w:tr w:rsidR="00022297" w:rsidRPr="00022297">
              <w:tc>
                <w:tcPr>
                  <w:tcW w:w="3825" w:type="dxa"/>
                  <w:vAlign w:val="center"/>
                  <w:hideMark/>
                </w:tcPr>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QUỐC HỘI</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 </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sz w:val="22"/>
                    </w:rPr>
                    <w:t>Nghị quyết số:        /2025/QH15</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i/>
                      <w:iCs/>
                      <w:sz w:val="22"/>
                      <w:bdr w:val="none" w:sz="0" w:space="0" w:color="auto" w:frame="1"/>
                    </w:rPr>
                    <w:t>Dự thảo</w:t>
                  </w:r>
                </w:p>
              </w:tc>
              <w:tc>
                <w:tcPr>
                  <w:tcW w:w="6240" w:type="dxa"/>
                  <w:vAlign w:val="center"/>
                  <w:hideMark/>
                </w:tcPr>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CỘNG HÒA XÃ HỘI CHỦ NGHĨA VIỆT NAM</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Độc lập - Tự do - Hạnh phúc</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 </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sz w:val="22"/>
                    </w:rPr>
                    <w:t> </w:t>
                  </w:r>
                </w:p>
              </w:tc>
            </w:tr>
          </w:tbl>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NGHỊ QUYẾT</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Sửa đổi, bổ sung một số điều của Hiến pháp</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nước Cộng hòa xã hội chủ nghĩa Việt Nam năm 2013</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 </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QUỐC HỘI</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i/>
                <w:iCs/>
                <w:sz w:val="22"/>
                <w:bdr w:val="none" w:sz="0" w:space="0" w:color="auto" w:frame="1"/>
              </w:rPr>
              <w:t>Căn cứ Hiến pháp nước Cộng hòa xã hội chủ nghĩa Việt Nam năm 2013;</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i/>
                <w:iCs/>
                <w:sz w:val="22"/>
                <w:bdr w:val="none" w:sz="0" w:space="0" w:color="auto" w:frame="1"/>
              </w:rPr>
              <w:t>Căn cứ Nghị quyết số 194/2025/QH15 ngày 05 tháng 5 năm 2025 của Quốc hội về việc sửa đổi, bổ sung một số điều của Hiến pháp năm 2013,</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QUYẾT NGHỊ:</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b/>
                <w:bCs/>
                <w:sz w:val="22"/>
              </w:rPr>
              <w:t>Điều 1</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Sửa đổi, bổ sung một số điều của Hiến pháp nước Cộng hoà xã hội chủ nghĩa Việt Nam năm 2013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1. Sửa đổi, bổ sung Điều 9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w:t>
            </w:r>
            <w:r w:rsidRPr="00022297">
              <w:rPr>
                <w:rFonts w:eastAsia="Times New Roman" w:cs="Times New Roman"/>
                <w:b/>
                <w:bCs/>
                <w:sz w:val="22"/>
              </w:rPr>
              <w:t>Điều 9</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proofErr w:type="gramStart"/>
            <w:r w:rsidRPr="00022297">
              <w:rPr>
                <w:rFonts w:eastAsia="Times New Roman" w:cs="Times New Roman"/>
                <w:sz w:val="22"/>
              </w:rPr>
              <w:t>”.</w:t>
            </w:r>
            <w:proofErr w:type="gramEnd"/>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Sửa đổi, bổ sung Điều 10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w:t>
            </w:r>
            <w:r w:rsidRPr="00022297">
              <w:rPr>
                <w:rFonts w:eastAsia="Times New Roman" w:cs="Times New Roman"/>
                <w:b/>
                <w:bCs/>
                <w:sz w:val="22"/>
              </w:rPr>
              <w:t>Điều 10</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3. Sửa đổi, bổ sung khoản 1 Điều 84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lastRenderedPageBreak/>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4. Sửa đổi, bổ sung Điều 110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w:t>
            </w:r>
            <w:r w:rsidRPr="00022297">
              <w:rPr>
                <w:rFonts w:eastAsia="Times New Roman" w:cs="Times New Roman"/>
                <w:b/>
                <w:bCs/>
                <w:sz w:val="22"/>
              </w:rPr>
              <w:t>Điều 110</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1. Các đơn vị hành chính của nước Cộng hòa xã hội chủ nghĩa Việt Nam gồm tỉnh, thành phố trực thuộc trung ương và các đơn vị hành chính dưới tỉnh, thành phố trực thuộc trung ương.</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Đơn vị hành chính - kinh tế đặc biệt do Quốc hội thành lập. </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roofErr w:type="gramStart"/>
            <w:r w:rsidRPr="00022297">
              <w:rPr>
                <w:rFonts w:eastAsia="Times New Roman" w:cs="Times New Roman"/>
                <w:sz w:val="22"/>
              </w:rPr>
              <w:t>”.</w:t>
            </w:r>
            <w:proofErr w:type="gramEnd"/>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5. Sửa đổi, bổ sung khoản 2 Điều 111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roofErr w:type="gramStart"/>
            <w:r w:rsidRPr="00022297">
              <w:rPr>
                <w:rFonts w:eastAsia="Times New Roman" w:cs="Times New Roman"/>
                <w:sz w:val="22"/>
              </w:rPr>
              <w:t>”.</w:t>
            </w:r>
            <w:proofErr w:type="gramEnd"/>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6. Sửa đổi, bổ sung khoản 2 Điều 112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Nhiệm vụ, quyền hạn của chính quyền địa phương được xác định trên cơ sở phân định thẩm quyền giữa các cơ quan nhà nước ở trung ương và địa phương và của chính quyền địa phương từng cấp.</w:t>
            </w:r>
            <w:proofErr w:type="gramStart"/>
            <w:r w:rsidRPr="00022297">
              <w:rPr>
                <w:rFonts w:eastAsia="Times New Roman" w:cs="Times New Roman"/>
                <w:sz w:val="22"/>
              </w:rPr>
              <w:t>”.</w:t>
            </w:r>
            <w:proofErr w:type="gramEnd"/>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7. Sửa đổi, bổ sung khoản 1 Điều 114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roofErr w:type="gramStart"/>
            <w:r w:rsidRPr="00022297">
              <w:rPr>
                <w:rFonts w:eastAsia="Times New Roman" w:cs="Times New Roman"/>
                <w:sz w:val="22"/>
              </w:rPr>
              <w:t>”.</w:t>
            </w:r>
            <w:proofErr w:type="gramEnd"/>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8. Sửa đổi, bổ sung khoản 2 Điều 115 như sau:</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roofErr w:type="gramStart"/>
            <w:r w:rsidRPr="00022297">
              <w:rPr>
                <w:rFonts w:eastAsia="Times New Roman" w:cs="Times New Roman"/>
                <w:sz w:val="22"/>
              </w:rPr>
              <w:t>”.</w:t>
            </w:r>
            <w:proofErr w:type="gramEnd"/>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b/>
                <w:bCs/>
                <w:sz w:val="22"/>
              </w:rPr>
              <w:t>Điều 2</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1. Nghị quyết này có hiệu lực thi hành từ ngày 01 tháng 7 năm 2025.</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2. Kể từ ngày Nghị quyết này có hiệu lực thi hành, kết thúc hoạt động của đơn vị hành chính cấp huyện trong cả nước. </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 của các tỉnh, thành phố trực thuộc trung ương hình thành sau sắp xếp; Thủ tướng Chính phủ chỉ định Chủ tịch, Phó Chủ tịch Ủy ban nhân dân của các tỉnh, thành phố trực thuộc trung ương hình thành sau sắp xếp; Thường trực Hội đồng nhân dân cấp tỉnh chỉ định Ủy viên Ủy ban nhân dân 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 </w:t>
            </w:r>
          </w:p>
          <w:p w:rsidR="00022297" w:rsidRPr="00022297" w:rsidRDefault="00022297" w:rsidP="00022297">
            <w:pPr>
              <w:spacing w:after="0" w:line="240" w:lineRule="auto"/>
              <w:rPr>
                <w:rFonts w:eastAsia="Times New Roman" w:cs="Times New Roman"/>
                <w:sz w:val="24"/>
                <w:szCs w:val="24"/>
              </w:rPr>
            </w:pPr>
            <w:r w:rsidRPr="00022297">
              <w:rPr>
                <w:rFonts w:eastAsia="Times New Roman" w:cs="Times New Roman"/>
                <w:sz w:val="24"/>
                <w:szCs w:val="24"/>
              </w:rPr>
              <w:pict>
                <v:rect id="_x0000_i1025" style="width:0;height:1.5pt" o:hralign="center" o:hrstd="t" o:hr="t" fillcolor="#a0a0a0" stroked="f"/>
              </w:pic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i/>
                <w:iCs/>
                <w:sz w:val="22"/>
                <w:bdr w:val="none" w:sz="0" w:space="0" w:color="auto" w:frame="1"/>
              </w:rPr>
              <w:t>Nghị quyết này được Quốc hội nước Cộng hòa xã hội chủ nghĩa Việt Nam khóa XV, kỳ họp thứ 9 thông qua ngày … tháng … năm 2025.</w:t>
            </w:r>
          </w:p>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sz w:val="22"/>
              </w:rPr>
              <w:t> </w:t>
            </w:r>
          </w:p>
          <w:tbl>
            <w:tblPr>
              <w:tblW w:w="10500" w:type="dxa"/>
              <w:tblCellMar>
                <w:left w:w="0" w:type="dxa"/>
                <w:right w:w="0" w:type="dxa"/>
              </w:tblCellMar>
              <w:tblLook w:val="04A0" w:firstRow="1" w:lastRow="0" w:firstColumn="1" w:lastColumn="0" w:noHBand="0" w:noVBand="1"/>
            </w:tblPr>
            <w:tblGrid>
              <w:gridCol w:w="4852"/>
              <w:gridCol w:w="5648"/>
            </w:tblGrid>
            <w:tr w:rsidR="00022297" w:rsidRPr="00022297">
              <w:tc>
                <w:tcPr>
                  <w:tcW w:w="0" w:type="auto"/>
                  <w:vAlign w:val="center"/>
                  <w:hideMark/>
                </w:tcPr>
                <w:p w:rsidR="00022297" w:rsidRPr="00022297" w:rsidRDefault="00022297" w:rsidP="00022297">
                  <w:pPr>
                    <w:spacing w:after="0" w:line="240" w:lineRule="auto"/>
                    <w:jc w:val="both"/>
                    <w:textAlignment w:val="baseline"/>
                    <w:rPr>
                      <w:rFonts w:eastAsia="Times New Roman" w:cs="Times New Roman"/>
                      <w:sz w:val="22"/>
                    </w:rPr>
                  </w:pPr>
                  <w:r w:rsidRPr="00022297">
                    <w:rPr>
                      <w:rFonts w:eastAsia="Times New Roman" w:cs="Times New Roman"/>
                      <w:b/>
                      <w:bCs/>
                      <w:i/>
                      <w:iCs/>
                      <w:sz w:val="22"/>
                      <w:bdr w:val="none" w:sz="0" w:space="0" w:color="auto" w:frame="1"/>
                    </w:rPr>
                    <w:t>                                    </w:t>
                  </w:r>
                </w:p>
              </w:tc>
              <w:tc>
                <w:tcPr>
                  <w:tcW w:w="0" w:type="auto"/>
                  <w:vAlign w:val="center"/>
                  <w:hideMark/>
                </w:tcPr>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CHỦ TỊCH QUỐC HỘI</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sz w:val="22"/>
                    </w:rPr>
                    <w:t> </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sz w:val="22"/>
                    </w:rPr>
                    <w:t> </w:t>
                  </w:r>
                </w:p>
                <w:p w:rsidR="00022297" w:rsidRPr="00022297" w:rsidRDefault="00022297" w:rsidP="00022297">
                  <w:pPr>
                    <w:spacing w:after="0" w:line="240" w:lineRule="auto"/>
                    <w:jc w:val="center"/>
                    <w:textAlignment w:val="baseline"/>
                    <w:rPr>
                      <w:rFonts w:eastAsia="Times New Roman" w:cs="Times New Roman"/>
                      <w:sz w:val="22"/>
                    </w:rPr>
                  </w:pPr>
                  <w:r w:rsidRPr="00022297">
                    <w:rPr>
                      <w:rFonts w:eastAsia="Times New Roman" w:cs="Times New Roman"/>
                      <w:b/>
                      <w:bCs/>
                      <w:sz w:val="22"/>
                    </w:rPr>
                    <w:t>Trần Thanh Mẫn</w:t>
                  </w:r>
                </w:p>
              </w:tc>
            </w:tr>
          </w:tbl>
          <w:p w:rsidR="00022297" w:rsidRPr="00022297" w:rsidRDefault="00022297" w:rsidP="00022297">
            <w:pPr>
              <w:spacing w:after="0" w:line="240" w:lineRule="auto"/>
              <w:rPr>
                <w:rFonts w:eastAsia="Times New Roman" w:cs="Times New Roman"/>
                <w:sz w:val="24"/>
                <w:szCs w:val="24"/>
              </w:rPr>
            </w:pPr>
          </w:p>
        </w:tc>
      </w:tr>
    </w:tbl>
    <w:p w:rsidR="005F010B" w:rsidRDefault="005F010B">
      <w:bookmarkStart w:id="0" w:name="_GoBack"/>
      <w:bookmarkEnd w:id="0"/>
    </w:p>
    <w:sectPr w:rsidR="005F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97"/>
    <w:rsid w:val="00022297"/>
    <w:rsid w:val="005F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0EE59-24FB-4496-B703-CDFB1FA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015">
      <w:bodyDiv w:val="1"/>
      <w:marLeft w:val="0"/>
      <w:marRight w:val="0"/>
      <w:marTop w:val="0"/>
      <w:marBottom w:val="0"/>
      <w:divBdr>
        <w:top w:val="none" w:sz="0" w:space="0" w:color="auto"/>
        <w:left w:val="none" w:sz="0" w:space="0" w:color="auto"/>
        <w:bottom w:val="none" w:sz="0" w:space="0" w:color="auto"/>
        <w:right w:val="none" w:sz="0" w:space="0" w:color="auto"/>
      </w:divBdr>
      <w:divsChild>
        <w:div w:id="2059932426">
          <w:marLeft w:val="0"/>
          <w:marRight w:val="0"/>
          <w:marTop w:val="0"/>
          <w:marBottom w:val="0"/>
          <w:divBdr>
            <w:top w:val="none" w:sz="0" w:space="0" w:color="auto"/>
            <w:left w:val="none" w:sz="0" w:space="0" w:color="auto"/>
            <w:bottom w:val="none" w:sz="0" w:space="0" w:color="auto"/>
            <w:right w:val="none" w:sz="0" w:space="0" w:color="auto"/>
          </w:divBdr>
        </w:div>
        <w:div w:id="211559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6442</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Dự thảo Nghị quyết sửa đổi, bổ sung một số điều của Hiến pháp nước Cộng hòa xã h</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2025-05-06T04:45:00Z</dcterms:created>
  <dcterms:modified xsi:type="dcterms:W3CDTF">2025-05-06T04:46:00Z</dcterms:modified>
</cp:coreProperties>
</file>